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960461" w:rsidRPr="00B8319A" w:rsidRDefault="00960461" w:rsidP="00960461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60461" w:rsidRPr="001F58A2" w:rsidRDefault="001F58A2" w:rsidP="00960461">
      <w:pPr>
        <w:jc w:val="both"/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02-</w:t>
      </w:r>
      <w:r>
        <w:t>1019</w:t>
      </w:r>
      <w:r>
        <w:rPr>
          <w:lang w:val="sr-Cyrl-CS"/>
        </w:rPr>
        <w:t>/1</w:t>
      </w:r>
      <w:r>
        <w:t>3</w:t>
      </w:r>
    </w:p>
    <w:p w:rsidR="00960461" w:rsidRPr="00C40FFB" w:rsidRDefault="00C40FFB" w:rsidP="00960461">
      <w:pPr>
        <w:jc w:val="both"/>
        <w:rPr>
          <w:lang w:val="sr-Cyrl-CS"/>
        </w:rPr>
      </w:pPr>
      <w:r w:rsidRPr="00C40FFB">
        <w:t>2</w:t>
      </w:r>
      <w:r w:rsidRPr="00C40FFB">
        <w:rPr>
          <w:lang w:val="sr-Cyrl-CS"/>
        </w:rPr>
        <w:t>9</w:t>
      </w:r>
      <w:r w:rsidR="001F58A2" w:rsidRPr="00C40FFB">
        <w:t xml:space="preserve">. </w:t>
      </w:r>
      <w:proofErr w:type="gramStart"/>
      <w:r w:rsidR="001F58A2" w:rsidRPr="00C40FFB">
        <w:rPr>
          <w:lang w:val="sr-Cyrl-CS"/>
        </w:rPr>
        <w:t>март</w:t>
      </w:r>
      <w:proofErr w:type="gramEnd"/>
      <w:r w:rsidR="001F58A2" w:rsidRPr="00C40FFB">
        <w:rPr>
          <w:lang w:val="sr-Cyrl-CS"/>
        </w:rPr>
        <w:t xml:space="preserve"> 201</w:t>
      </w:r>
      <w:r w:rsidR="001F58A2" w:rsidRPr="00C40FFB">
        <w:t>3</w:t>
      </w:r>
      <w:r w:rsidR="00960461" w:rsidRPr="00C40FFB">
        <w:rPr>
          <w:lang w:val="sr-Cyrl-CS"/>
        </w:rPr>
        <w:t>. године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Pr="00312B65" w:rsidRDefault="00960461" w:rsidP="00960461">
      <w:pPr>
        <w:jc w:val="both"/>
      </w:pPr>
      <w:r>
        <w:rPr>
          <w:lang w:val="sr-Cyrl-CS"/>
        </w:rPr>
        <w:t xml:space="preserve">               Одбор за правосуђе, државну уп</w:t>
      </w:r>
      <w:r w:rsidR="001F58A2">
        <w:rPr>
          <w:lang w:val="sr-Cyrl-CS"/>
        </w:rPr>
        <w:t>раву и локалну самоуправу, на 2</w:t>
      </w:r>
      <w:r>
        <w:rPr>
          <w:lang w:val="sr-Cyrl-CS"/>
        </w:rPr>
        <w:t>2. седн</w:t>
      </w:r>
      <w:r w:rsidR="008C6B6F">
        <w:rPr>
          <w:lang w:val="sr-Cyrl-CS"/>
        </w:rPr>
        <w:t>ици одржаној  2</w:t>
      </w:r>
      <w:r w:rsidR="008C6B6F">
        <w:t>1</w:t>
      </w:r>
      <w:r w:rsidR="006D3FF4">
        <w:rPr>
          <w:lang w:val="sr-Cyrl-CS"/>
        </w:rPr>
        <w:t xml:space="preserve">. марта </w:t>
      </w:r>
      <w:r w:rsidR="001F58A2">
        <w:rPr>
          <w:lang w:val="sr-Cyrl-CS"/>
        </w:rPr>
        <w:t>2013</w:t>
      </w:r>
      <w:r>
        <w:rPr>
          <w:lang w:val="sr-Cyrl-CS"/>
        </w:rPr>
        <w:t xml:space="preserve">. године, разматрао је Извештај о раду Високог савета судства </w:t>
      </w:r>
      <w:r w:rsidR="001F58A2">
        <w:rPr>
          <w:lang w:val="sr-Cyrl-CS"/>
        </w:rPr>
        <w:t>за 2012</w:t>
      </w:r>
      <w:r>
        <w:rPr>
          <w:lang w:val="sr-Cyrl-CS"/>
        </w:rPr>
        <w:t>. годину.</w:t>
      </w:r>
    </w:p>
    <w:p w:rsidR="00960461" w:rsidRDefault="00960461" w:rsidP="001F58A2">
      <w:pPr>
        <w:jc w:val="both"/>
        <w:rPr>
          <w:lang w:val="sr-Cyrl-CS"/>
        </w:rPr>
      </w:pPr>
      <w:r>
        <w:rPr>
          <w:lang w:val="sr-Cyrl-CS"/>
        </w:rPr>
        <w:t xml:space="preserve">               Седници Одбора </w:t>
      </w:r>
      <w:r w:rsidR="00145303">
        <w:rPr>
          <w:lang w:val="sr-Cyrl-CS"/>
        </w:rPr>
        <w:t>присуствовала је</w:t>
      </w:r>
      <w:r w:rsidR="00145303">
        <w:t xml:space="preserve"> </w:t>
      </w:r>
      <w:r w:rsidR="00145303">
        <w:rPr>
          <w:lang w:val="sr-Cyrl-CS"/>
        </w:rPr>
        <w:t>Мирјана Ивић</w:t>
      </w:r>
      <w:r>
        <w:rPr>
          <w:lang w:val="sr-Cyrl-CS"/>
        </w:rPr>
        <w:t xml:space="preserve">, </w:t>
      </w:r>
      <w:r w:rsidR="001F58A2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1F58A2">
        <w:rPr>
          <w:lang w:val="sr-Cyrl-CS"/>
        </w:rPr>
        <w:t>а</w:t>
      </w:r>
      <w:r>
        <w:rPr>
          <w:lang w:val="sr-Cyrl-CS"/>
        </w:rPr>
        <w:t xml:space="preserve"> Високог савета судства.</w:t>
      </w:r>
    </w:p>
    <w:p w:rsidR="00145303" w:rsidRPr="001F58A2" w:rsidRDefault="007E6638" w:rsidP="001F58A2">
      <w:pPr>
        <w:jc w:val="both"/>
        <w:rPr>
          <w:lang w:val="sr-Cyrl-CS"/>
        </w:rPr>
      </w:pPr>
      <w:r>
        <w:rPr>
          <w:lang w:val="sr-Cyrl-CS"/>
        </w:rPr>
        <w:tab/>
        <w:t xml:space="preserve">   Одбор је, на </w:t>
      </w:r>
      <w:r>
        <w:t>24.</w:t>
      </w:r>
      <w:r>
        <w:rPr>
          <w:lang w:val="sr-Cyrl-CS"/>
        </w:rPr>
        <w:t xml:space="preserve"> седници одржаној</w:t>
      </w:r>
      <w:r>
        <w:t xml:space="preserve"> 29. </w:t>
      </w:r>
      <w:r>
        <w:rPr>
          <w:lang w:val="sr-Cyrl-CS"/>
        </w:rPr>
        <w:t>марта 2013. године,</w:t>
      </w:r>
      <w:r w:rsidR="00145303">
        <w:rPr>
          <w:lang w:val="sr-Cyrl-CS"/>
        </w:rPr>
        <w:t xml:space="preserve"> утврдио Предлог закључка поводом разматрања Извештаја о раду Високог савета судства за 2012. годину.</w:t>
      </w:r>
    </w:p>
    <w:p w:rsidR="00960461" w:rsidRPr="00B255C8" w:rsidRDefault="00960461" w:rsidP="00960461">
      <w:pPr>
        <w:jc w:val="both"/>
        <w:rPr>
          <w:lang w:val="sr-Latn-CS"/>
        </w:rPr>
      </w:pPr>
      <w:r>
        <w:rPr>
          <w:lang w:val="sr-Cyrl-CS"/>
        </w:rPr>
        <w:t xml:space="preserve">               На основу члана 237. став 4. Пословника Народне скупштине</w:t>
      </w:r>
      <w:r>
        <w:t xml:space="preserve"> </w:t>
      </w:r>
      <w:r>
        <w:rPr>
          <w:lang w:val="sr-Cyrl-CS"/>
        </w:rPr>
        <w:t>(Пречишћени текст),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 раду Високог савета судства</w:t>
      </w:r>
      <w:r w:rsidR="001F58A2">
        <w:rPr>
          <w:lang w:val="sr-Cyrl-CS"/>
        </w:rPr>
        <w:t xml:space="preserve"> за 2012</w:t>
      </w:r>
      <w:r>
        <w:rPr>
          <w:lang w:val="sr-Cyrl-CS"/>
        </w:rPr>
        <w:t xml:space="preserve">. </w:t>
      </w:r>
      <w:r w:rsidR="00891AFA">
        <w:rPr>
          <w:lang w:val="sr-Cyrl-CS"/>
        </w:rPr>
        <w:t>г</w:t>
      </w:r>
      <w:r>
        <w:rPr>
          <w:lang w:val="sr-Cyrl-CS"/>
        </w:rPr>
        <w:t>одину</w:t>
      </w:r>
      <w:r w:rsidR="001F58A2">
        <w:rPr>
          <w:lang w:val="sr-Cyrl-CS"/>
        </w:rPr>
        <w:t>,</w:t>
      </w:r>
      <w:r>
        <w:rPr>
          <w:lang w:val="sr-Cyrl-CS"/>
        </w:rPr>
        <w:t xml:space="preserve"> који је поднет Народној скупштини на основу члана 19. став 1. Закона о Високом савету судства</w:t>
      </w:r>
      <w:r w:rsidR="001F58A2">
        <w:rPr>
          <w:lang w:val="sr-Cyrl-CS"/>
        </w:rPr>
        <w:t>,</w:t>
      </w:r>
      <w:r>
        <w:rPr>
          <w:lang w:val="sr-Cyrl-CS"/>
        </w:rPr>
        <w:t xml:space="preserve"> и утврдио Предлог закључка који доставља Народној скупштини на разматрање и усвајање</w:t>
      </w:r>
      <w:r w:rsidR="001F58A2">
        <w:rPr>
          <w:lang w:val="sr-Cyrl-CS"/>
        </w:rPr>
        <w:t>.</w:t>
      </w:r>
    </w:p>
    <w:p w:rsidR="00960461" w:rsidRDefault="00960461" w:rsidP="009604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960461" w:rsidRDefault="00960461" w:rsidP="00960461">
      <w:pPr>
        <w:jc w:val="both"/>
      </w:pPr>
    </w:p>
    <w:p w:rsidR="00960461" w:rsidRDefault="00960461" w:rsidP="00960461">
      <w:pPr>
        <w:jc w:val="both"/>
      </w:pPr>
      <w:r>
        <w:t xml:space="preserve">                                                                                    </w:t>
      </w:r>
      <w:r>
        <w:rPr>
          <w:lang w:val="sr-Cyrl-CS"/>
        </w:rPr>
        <w:t xml:space="preserve">     Петар Петровић</w:t>
      </w:r>
    </w:p>
    <w:p w:rsidR="00DF7F01" w:rsidRPr="006D3FF4" w:rsidRDefault="00DF7F01" w:rsidP="00960461">
      <w:pPr>
        <w:jc w:val="both"/>
      </w:pPr>
    </w:p>
    <w:p w:rsidR="00960461" w:rsidRPr="00CB692F" w:rsidRDefault="00960461" w:rsidP="00960461">
      <w:pPr>
        <w:jc w:val="both"/>
        <w:rPr>
          <w:lang w:val="sr-Cyrl-CS"/>
        </w:rPr>
      </w:pPr>
      <w:r>
        <w:lastRenderedPageBreak/>
        <w:t xml:space="preserve">                                                                                                      </w:t>
      </w:r>
      <w:r>
        <w:rPr>
          <w:lang w:val="sr-Cyrl-CS"/>
        </w:rPr>
        <w:t>П Р Е Д Л О Г</w:t>
      </w:r>
    </w:p>
    <w:p w:rsidR="00960461" w:rsidRPr="00312B65" w:rsidRDefault="00960461" w:rsidP="00960461">
      <w:pPr>
        <w:jc w:val="both"/>
      </w:pPr>
    </w:p>
    <w:p w:rsidR="006D3FF4" w:rsidRDefault="006D3FF4" w:rsidP="00960461">
      <w:pPr>
        <w:ind w:firstLine="720"/>
        <w:jc w:val="both"/>
        <w:rPr>
          <w:lang w:val="sr-Cyrl-CS"/>
        </w:rPr>
      </w:pPr>
    </w:p>
    <w:p w:rsidR="00960461" w:rsidRDefault="006D3FF4" w:rsidP="009604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960461">
        <w:rPr>
          <w:lang w:val="sr-Cyrl-CS"/>
        </w:rPr>
        <w:t>На основу члана 8. став 1. Закона о Народној скупштини („Службени гласник“, број 9/10) и члана 239. став 3.  Пословника Народне скупштине (Пречишћени текст - „Службени гласник</w:t>
      </w:r>
      <w:r w:rsidR="00960461">
        <w:rPr>
          <w:lang w:val="sr-Latn-CS"/>
        </w:rPr>
        <w:t xml:space="preserve"> </w:t>
      </w:r>
      <w:r w:rsidR="00960461">
        <w:rPr>
          <w:lang w:val="sr-Cyrl-CS"/>
        </w:rPr>
        <w:t>РС“, број 20/12),</w:t>
      </w:r>
    </w:p>
    <w:p w:rsidR="006D3FF4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</w:p>
    <w:p w:rsidR="00960461" w:rsidRDefault="00960461" w:rsidP="006D3FF4">
      <w:pPr>
        <w:ind w:firstLine="720"/>
        <w:jc w:val="both"/>
      </w:pPr>
      <w:r>
        <w:rPr>
          <w:lang w:val="sr-Cyrl-CS"/>
        </w:rPr>
        <w:t xml:space="preserve"> Народна скупштина, на ___ седници одржаној ____</w:t>
      </w:r>
      <w:r>
        <w:rPr>
          <w:lang w:val="sr-Latn-CS"/>
        </w:rPr>
        <w:t xml:space="preserve"> </w:t>
      </w:r>
      <w:r>
        <w:rPr>
          <w:lang w:val="sr-Cyrl-CS"/>
        </w:rPr>
        <w:t xml:space="preserve"> године, донела је</w:t>
      </w:r>
    </w:p>
    <w:p w:rsidR="006D3FF4" w:rsidRPr="006D3FF4" w:rsidRDefault="006D3FF4" w:rsidP="00960461">
      <w:pPr>
        <w:jc w:val="both"/>
      </w:pPr>
    </w:p>
    <w:p w:rsidR="00960461" w:rsidRPr="006D3FF4" w:rsidRDefault="00960461" w:rsidP="00960461">
      <w:pPr>
        <w:jc w:val="both"/>
      </w:pPr>
    </w:p>
    <w:p w:rsidR="00960461" w:rsidRPr="00480274" w:rsidRDefault="00960461" w:rsidP="00960461">
      <w:pPr>
        <w:jc w:val="center"/>
      </w:pPr>
      <w:r>
        <w:rPr>
          <w:lang w:val="sr-Cyrl-CS"/>
        </w:rPr>
        <w:t xml:space="preserve">З А К Љ У Ч </w:t>
      </w:r>
      <w:r>
        <w:t>A K</w:t>
      </w:r>
    </w:p>
    <w:p w:rsidR="00960461" w:rsidRDefault="00960461" w:rsidP="006D3FF4">
      <w:pPr>
        <w:jc w:val="center"/>
      </w:pPr>
      <w:r>
        <w:rPr>
          <w:lang w:val="sr-Cyrl-CS"/>
        </w:rPr>
        <w:t>поводом разматрања Извештаја о раду Високог савета судства</w:t>
      </w:r>
      <w:r w:rsidR="001F58A2">
        <w:rPr>
          <w:lang w:val="sr-Cyrl-CS"/>
        </w:rPr>
        <w:t xml:space="preserve"> за 2012</w:t>
      </w:r>
      <w:r>
        <w:rPr>
          <w:lang w:val="sr-Cyrl-CS"/>
        </w:rPr>
        <w:t xml:space="preserve">. </w:t>
      </w:r>
      <w:r w:rsidR="006D3FF4">
        <w:rPr>
          <w:lang w:val="sr-Cyrl-CS"/>
        </w:rPr>
        <w:t>г</w:t>
      </w:r>
      <w:r>
        <w:rPr>
          <w:lang w:val="sr-Cyrl-CS"/>
        </w:rPr>
        <w:t>одину</w:t>
      </w:r>
    </w:p>
    <w:p w:rsidR="006D3FF4" w:rsidRPr="006D3FF4" w:rsidRDefault="006D3FF4" w:rsidP="006D3FF4">
      <w:pPr>
        <w:jc w:val="center"/>
      </w:pPr>
    </w:p>
    <w:p w:rsidR="006D3FF4" w:rsidRPr="006D3FF4" w:rsidRDefault="006D3FF4" w:rsidP="00960461">
      <w:pPr>
        <w:jc w:val="both"/>
      </w:pPr>
    </w:p>
    <w:p w:rsidR="006D3FF4" w:rsidRDefault="006D3FF4" w:rsidP="006D3F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960461" w:rsidRPr="006D3FF4">
        <w:rPr>
          <w:lang w:val="sr-Cyrl-CS"/>
        </w:rPr>
        <w:t>Народна скупштина констатује да је Високи савет судства у Извештају</w:t>
      </w:r>
      <w:r w:rsidR="00960461" w:rsidRPr="006D3FF4">
        <w:rPr>
          <w:color w:val="00B050"/>
          <w:lang w:val="sr-Cyrl-CS"/>
        </w:rPr>
        <w:t xml:space="preserve"> </w:t>
      </w:r>
      <w:r w:rsidR="00960461" w:rsidRPr="006D3FF4">
        <w:rPr>
          <w:lang w:val="sr-Cyrl-CS"/>
        </w:rPr>
        <w:t>о раду</w:t>
      </w:r>
      <w:r w:rsidR="001F58A2" w:rsidRPr="006D3FF4">
        <w:rPr>
          <w:lang w:val="sr-Cyrl-CS"/>
        </w:rPr>
        <w:t xml:space="preserve"> за 2012</w:t>
      </w:r>
      <w:r w:rsidR="00960461" w:rsidRPr="006D3FF4">
        <w:rPr>
          <w:lang w:val="sr-Cyrl-CS"/>
        </w:rPr>
        <w:t>. годину целовито представио активности Савета</w:t>
      </w:r>
      <w:r w:rsidR="00423229" w:rsidRPr="006D3FF4">
        <w:rPr>
          <w:lang w:val="sr-Cyrl-CS"/>
        </w:rPr>
        <w:t xml:space="preserve"> у 2012. години</w:t>
      </w:r>
      <w:r w:rsidR="00960461" w:rsidRPr="006D3FF4">
        <w:rPr>
          <w:lang w:val="sr-Cyrl-CS"/>
        </w:rPr>
        <w:t>, које произлазе из Уставом и законом утврђеног положаја овог органа као независног и самосталног органа који обезбеђује и гарантује независност и самосталност судова и судија.</w:t>
      </w:r>
    </w:p>
    <w:p w:rsidR="006D3FF4" w:rsidRPr="006D3FF4" w:rsidRDefault="006D3FF4" w:rsidP="006D3FF4">
      <w:pPr>
        <w:ind w:firstLine="720"/>
        <w:jc w:val="both"/>
        <w:rPr>
          <w:lang w:val="sr-Cyrl-CS"/>
        </w:rPr>
      </w:pPr>
    </w:p>
    <w:p w:rsidR="001C7845" w:rsidRPr="006D3FF4" w:rsidRDefault="00960461" w:rsidP="006D3FF4">
      <w:pPr>
        <w:ind w:firstLine="720"/>
        <w:jc w:val="both"/>
      </w:pPr>
      <w:r>
        <w:rPr>
          <w:lang w:val="sr-Cyrl-CS"/>
        </w:rPr>
        <w:t>2. Народна скупштина оцењује да активн</w:t>
      </w:r>
      <w:r>
        <w:t>o</w:t>
      </w:r>
      <w:r>
        <w:rPr>
          <w:lang w:val="sr-Cyrl-CS"/>
        </w:rPr>
        <w:t xml:space="preserve">сти Високог савета судства морају </w:t>
      </w:r>
      <w:r w:rsidR="008F16E9">
        <w:rPr>
          <w:lang w:val="sr-Cyrl-CS"/>
        </w:rPr>
        <w:t xml:space="preserve">и </w:t>
      </w:r>
      <w:r w:rsidR="00C40FFB">
        <w:rPr>
          <w:lang w:val="sr-Cyrl-CS"/>
        </w:rPr>
        <w:t xml:space="preserve">даље </w:t>
      </w:r>
      <w:r>
        <w:rPr>
          <w:lang w:val="sr-Cyrl-CS"/>
        </w:rPr>
        <w:t xml:space="preserve">бити усмерене на </w:t>
      </w:r>
      <w:r w:rsidR="00DC77A8">
        <w:rPr>
          <w:lang w:val="sr-Cyrl-CS"/>
        </w:rPr>
        <w:t xml:space="preserve">доследно </w:t>
      </w:r>
      <w:r>
        <w:rPr>
          <w:lang w:val="sr-Cyrl-CS"/>
        </w:rPr>
        <w:t>реформисање правосуђа у независан, одговоран и ефикасан судски систем</w:t>
      </w:r>
      <w:r w:rsidR="009336E4">
        <w:rPr>
          <w:lang w:val="sr-Cyrl-CS"/>
        </w:rPr>
        <w:t xml:space="preserve"> који ће омогућити </w:t>
      </w:r>
      <w:r w:rsidR="00DC77A8">
        <w:rPr>
          <w:lang w:val="sr-Cyrl-CS"/>
        </w:rPr>
        <w:t>јачање пр</w:t>
      </w:r>
      <w:r w:rsidR="00995BA6">
        <w:rPr>
          <w:lang w:val="sr-Cyrl-CS"/>
        </w:rPr>
        <w:t xml:space="preserve">авосудних институција, </w:t>
      </w:r>
      <w:r w:rsidR="009336E4">
        <w:rPr>
          <w:lang w:val="sr-Cyrl-CS"/>
        </w:rPr>
        <w:t xml:space="preserve">остваривање </w:t>
      </w:r>
      <w:r w:rsidR="00995BA6">
        <w:rPr>
          <w:lang w:val="sr-Cyrl-CS"/>
        </w:rPr>
        <w:t xml:space="preserve">уставних </w:t>
      </w:r>
      <w:r w:rsidR="009336E4">
        <w:rPr>
          <w:lang w:val="sr-Cyrl-CS"/>
        </w:rPr>
        <w:t>прав</w:t>
      </w:r>
      <w:r w:rsidR="00995BA6">
        <w:rPr>
          <w:lang w:val="sr-Cyrl-CS"/>
        </w:rPr>
        <w:t xml:space="preserve">а грађана на правично суђење и </w:t>
      </w:r>
      <w:r w:rsidR="009336E4">
        <w:rPr>
          <w:lang w:val="sr-Cyrl-CS"/>
        </w:rPr>
        <w:t xml:space="preserve">суђење у разумном року, </w:t>
      </w:r>
      <w:r w:rsidR="00D027D6">
        <w:rPr>
          <w:lang w:val="sr-Cyrl-CS"/>
        </w:rPr>
        <w:t>ефикаснију заштиту права грађана у поступцима пред судовима</w:t>
      </w:r>
      <w:r w:rsidR="00AF73D5" w:rsidRPr="00AF73D5">
        <w:rPr>
          <w:lang w:val="sr-Cyrl-CS"/>
        </w:rPr>
        <w:t xml:space="preserve"> </w:t>
      </w:r>
      <w:r w:rsidR="00AF73D5">
        <w:rPr>
          <w:lang w:val="sr-Cyrl-CS"/>
        </w:rPr>
        <w:t>и олакшати приступ судовима</w:t>
      </w:r>
      <w:r w:rsidR="00D027D6">
        <w:rPr>
          <w:lang w:val="sr-Cyrl-CS"/>
        </w:rPr>
        <w:t>.</w:t>
      </w:r>
      <w:r>
        <w:rPr>
          <w:lang w:val="sr-Cyrl-CS"/>
        </w:rPr>
        <w:t xml:space="preserve"> </w:t>
      </w:r>
      <w:r w:rsidRPr="00F82DC4">
        <w:rPr>
          <w:lang w:val="sr-Cyrl-CS"/>
        </w:rPr>
        <w:t xml:space="preserve">У том смислу, </w:t>
      </w:r>
      <w:r w:rsidR="00553D4B">
        <w:rPr>
          <w:lang w:val="sr-Cyrl-CS"/>
        </w:rPr>
        <w:t xml:space="preserve">Народна скупштина </w:t>
      </w:r>
      <w:r w:rsidRPr="00F82DC4">
        <w:rPr>
          <w:lang w:val="sr-Cyrl-CS"/>
        </w:rPr>
        <w:t>ће подржати све акт</w:t>
      </w:r>
      <w:r w:rsidR="00AF73D5">
        <w:rPr>
          <w:lang w:val="sr-Cyrl-CS"/>
        </w:rPr>
        <w:t xml:space="preserve">ивности Високог савета судства </w:t>
      </w:r>
      <w:r w:rsidRPr="00F82DC4">
        <w:rPr>
          <w:lang w:val="sr-Cyrl-CS"/>
        </w:rPr>
        <w:t>на отклањању уочени</w:t>
      </w:r>
      <w:r>
        <w:rPr>
          <w:lang w:val="sr-Cyrl-CS"/>
        </w:rPr>
        <w:t xml:space="preserve">х недостатака </w:t>
      </w:r>
      <w:r w:rsidR="00333717">
        <w:rPr>
          <w:lang w:val="sr-Cyrl-CS"/>
        </w:rPr>
        <w:t xml:space="preserve">досадашње </w:t>
      </w:r>
      <w:r>
        <w:rPr>
          <w:lang w:val="sr-Cyrl-CS"/>
        </w:rPr>
        <w:t>реформе правосуђа.</w:t>
      </w:r>
    </w:p>
    <w:p w:rsidR="006D3FF4" w:rsidRDefault="001C7845" w:rsidP="006D3F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C7845" w:rsidRPr="001F68EC" w:rsidRDefault="001C7845" w:rsidP="001F68EC">
      <w:pPr>
        <w:pStyle w:val="Default"/>
        <w:ind w:firstLine="720"/>
        <w:jc w:val="both"/>
      </w:pPr>
      <w:r>
        <w:rPr>
          <w:lang w:val="sr-Cyrl-CS"/>
        </w:rPr>
        <w:t xml:space="preserve">3. </w:t>
      </w:r>
      <w:r w:rsidR="001F68EC">
        <w:rPr>
          <w:lang w:val="sr-Cyrl-CS"/>
        </w:rPr>
        <w:t>Народна скупштина очекује да Високи савет судства, вршећи функцију гаранта независности и самосталности судова и судија, изгради и доследно и одговорно примењује јасне критеријуме и мерила за оцену стручности, оспособљености и достојности, за вредновање рада, као и за утврђивање одговорности судија за нестручан и несавестан рад.</w:t>
      </w:r>
      <w:r w:rsidR="001F68EC" w:rsidRPr="00D027D6">
        <w:rPr>
          <w:lang w:val="sr-Cyrl-CS"/>
        </w:rPr>
        <w:t xml:space="preserve"> </w:t>
      </w:r>
      <w:r w:rsidR="007D6283">
        <w:rPr>
          <w:lang w:val="sr-Cyrl-CS"/>
        </w:rPr>
        <w:t>Остваривањем овог циља продуб</w:t>
      </w:r>
      <w:r w:rsidR="001F68EC">
        <w:rPr>
          <w:lang w:val="sr-Cyrl-CS"/>
        </w:rPr>
        <w:t>иће се поверење грађана у правосудни систем, што је основни циљ укупне стратегије реформе правосуђа.</w:t>
      </w:r>
    </w:p>
    <w:p w:rsidR="006D3FF4" w:rsidRDefault="006D3FF4" w:rsidP="006D3FF4">
      <w:pPr>
        <w:pStyle w:val="Default"/>
        <w:ind w:firstLine="720"/>
        <w:jc w:val="both"/>
        <w:rPr>
          <w:lang w:val="sr-Cyrl-CS"/>
        </w:rPr>
      </w:pPr>
    </w:p>
    <w:p w:rsidR="001F68EC" w:rsidRPr="006D3FF4" w:rsidRDefault="001C7845" w:rsidP="001F68EC">
      <w:pPr>
        <w:ind w:firstLine="720"/>
        <w:jc w:val="both"/>
      </w:pPr>
      <w:r>
        <w:rPr>
          <w:lang w:val="sr-Cyrl-CS"/>
        </w:rPr>
        <w:t>4</w:t>
      </w:r>
      <w:r w:rsidR="00AF73D5">
        <w:rPr>
          <w:lang w:val="sr-Cyrl-CS"/>
        </w:rPr>
        <w:t>.</w:t>
      </w:r>
      <w:r w:rsidR="005502B6">
        <w:rPr>
          <w:lang w:val="sr-Cyrl-CS"/>
        </w:rPr>
        <w:t xml:space="preserve"> </w:t>
      </w:r>
      <w:r w:rsidR="001F68EC">
        <w:rPr>
          <w:lang w:val="sr-Cyrl-CS"/>
        </w:rPr>
        <w:t>Народна скупштина указује да је неопходно да Високи савет судства,  у вршењу својих надлежности, што пре испун</w:t>
      </w:r>
      <w:r w:rsidR="007D6283">
        <w:rPr>
          <w:lang w:val="sr-Cyrl-CS"/>
        </w:rPr>
        <w:t xml:space="preserve">и све законом утврђене обавезе и </w:t>
      </w:r>
      <w:r w:rsidR="001F68EC">
        <w:rPr>
          <w:lang w:val="sr-Cyrl-CS"/>
        </w:rPr>
        <w:t xml:space="preserve"> приступи предлагању Народној скупштини кандидата за избор председника судова опште и посебне надлежности</w:t>
      </w:r>
      <w:r w:rsidR="001F68EC">
        <w:t>.</w:t>
      </w:r>
    </w:p>
    <w:p w:rsidR="006D3FF4" w:rsidRDefault="006D3FF4" w:rsidP="006D3FF4">
      <w:pPr>
        <w:ind w:firstLine="720"/>
        <w:jc w:val="both"/>
        <w:rPr>
          <w:lang w:val="sr-Cyrl-CS"/>
        </w:rPr>
      </w:pPr>
    </w:p>
    <w:p w:rsidR="001C7845" w:rsidRPr="006D3FF4" w:rsidRDefault="00AF73D5" w:rsidP="006D3FF4">
      <w:pPr>
        <w:ind w:firstLine="720"/>
        <w:jc w:val="both"/>
      </w:pPr>
      <w:r>
        <w:rPr>
          <w:lang w:val="sr-Cyrl-CS"/>
        </w:rPr>
        <w:t>5</w:t>
      </w:r>
      <w:r w:rsidR="00960461">
        <w:rPr>
          <w:lang w:val="sr-Cyrl-CS"/>
        </w:rPr>
        <w:t>. Имајући у виду значај успешно спроведене реформе правосуђа за  успостављање владавине права и оства</w:t>
      </w:r>
      <w:r w:rsidR="006243E8">
        <w:rPr>
          <w:lang w:val="sr-Cyrl-CS"/>
        </w:rPr>
        <w:t xml:space="preserve">ривање и заштиту права грађана, </w:t>
      </w:r>
      <w:r w:rsidR="00960461">
        <w:rPr>
          <w:lang w:val="sr-Cyrl-CS"/>
        </w:rPr>
        <w:t>као и за испуњење услова за стицање статуса кандидата за чланство у Европској унији, Народна скупштина ће, у вршењу законодав</w:t>
      </w:r>
      <w:r w:rsidR="005502B6">
        <w:rPr>
          <w:lang w:val="sr-Cyrl-CS"/>
        </w:rPr>
        <w:t>не функције, обезбеђивати неопходне законске</w:t>
      </w:r>
      <w:r w:rsidR="00960461">
        <w:rPr>
          <w:lang w:val="sr-Cyrl-CS"/>
        </w:rPr>
        <w:t xml:space="preserve"> услов</w:t>
      </w:r>
      <w:r w:rsidR="005502B6">
        <w:rPr>
          <w:lang w:val="sr-Cyrl-CS"/>
        </w:rPr>
        <w:t>е</w:t>
      </w:r>
      <w:r w:rsidR="00960461">
        <w:rPr>
          <w:lang w:val="sr-Cyrl-CS"/>
        </w:rPr>
        <w:t xml:space="preserve"> да се </w:t>
      </w:r>
      <w:r>
        <w:rPr>
          <w:lang w:val="sr-Cyrl-CS"/>
        </w:rPr>
        <w:t xml:space="preserve"> с</w:t>
      </w:r>
      <w:r w:rsidR="00960461">
        <w:rPr>
          <w:lang w:val="sr-Cyrl-CS"/>
        </w:rPr>
        <w:t>у</w:t>
      </w:r>
      <w:r>
        <w:rPr>
          <w:lang w:val="sr-Cyrl-CS"/>
        </w:rPr>
        <w:t>дск</w:t>
      </w:r>
      <w:r w:rsidR="007D6283">
        <w:rPr>
          <w:lang w:val="sr-Cyrl-CS"/>
        </w:rPr>
        <w:t>и систем изграђује</w:t>
      </w:r>
      <w:bookmarkStart w:id="0" w:name="_GoBack"/>
      <w:bookmarkEnd w:id="0"/>
      <w:r w:rsidR="00960461">
        <w:rPr>
          <w:lang w:val="sr-Cyrl-CS"/>
        </w:rPr>
        <w:t xml:space="preserve"> у складу са уставним начелима</w:t>
      </w:r>
      <w:r w:rsidR="006D3FF4">
        <w:t>.</w:t>
      </w:r>
      <w:r w:rsidR="00960461">
        <w:rPr>
          <w:lang w:val="sr-Cyrl-CS"/>
        </w:rPr>
        <w:t xml:space="preserve"> </w:t>
      </w:r>
    </w:p>
    <w:p w:rsidR="006D3FF4" w:rsidRDefault="006D3FF4" w:rsidP="00DF7F01">
      <w:pPr>
        <w:ind w:firstLine="720"/>
        <w:jc w:val="both"/>
        <w:rPr>
          <w:lang w:val="sr-Cyrl-CS"/>
        </w:rPr>
      </w:pPr>
    </w:p>
    <w:p w:rsidR="006D3FF4" w:rsidRDefault="00AF73D5" w:rsidP="00DF7F01">
      <w:pPr>
        <w:ind w:firstLine="720"/>
        <w:jc w:val="both"/>
        <w:rPr>
          <w:lang w:val="sr-Cyrl-CS"/>
        </w:rPr>
      </w:pPr>
      <w:r>
        <w:rPr>
          <w:lang w:val="sr-Cyrl-CS"/>
        </w:rPr>
        <w:t>6</w:t>
      </w:r>
      <w:r w:rsidR="00960461">
        <w:rPr>
          <w:lang w:val="sr-Cyrl-CS"/>
        </w:rPr>
        <w:t>. Ов</w:t>
      </w:r>
      <w:proofErr w:type="spellStart"/>
      <w:r w:rsidR="00960461">
        <w:t>aj</w:t>
      </w:r>
      <w:proofErr w:type="spellEnd"/>
      <w:r w:rsidR="00960461">
        <w:rPr>
          <w:lang w:val="sr-Cyrl-CS"/>
        </w:rPr>
        <w:t xml:space="preserve"> закључак објавић</w:t>
      </w:r>
      <w:r w:rsidR="00523112">
        <w:rPr>
          <w:lang w:val="sr-Cyrl-CS"/>
        </w:rPr>
        <w:t>е се у „Службеном гласнику РС“.</w:t>
      </w:r>
      <w:r w:rsidR="00960461">
        <w:rPr>
          <w:lang w:val="sr-Cyrl-CS"/>
        </w:rPr>
        <w:t xml:space="preserve">  </w:t>
      </w:r>
    </w:p>
    <w:p w:rsidR="00623628" w:rsidRPr="00DF7F01" w:rsidRDefault="00960461" w:rsidP="00DF7F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</w:p>
    <w:p w:rsidR="001C7845" w:rsidRPr="006D3FF4" w:rsidRDefault="001C7845" w:rsidP="00623628">
      <w:pPr>
        <w:jc w:val="both"/>
      </w:pPr>
    </w:p>
    <w:p w:rsidR="00623628" w:rsidRDefault="00623628" w:rsidP="00623628">
      <w:pPr>
        <w:jc w:val="both"/>
        <w:rPr>
          <w:lang w:val="sr-Cyrl-CS"/>
        </w:rPr>
      </w:pPr>
      <w:r>
        <w:rPr>
          <w:lang w:val="sr-Cyrl-CS"/>
        </w:rPr>
        <w:t>РС Број:</w:t>
      </w:r>
    </w:p>
    <w:p w:rsidR="001C7845" w:rsidRPr="006D3FF4" w:rsidRDefault="00623628" w:rsidP="006D3FF4">
      <w:pPr>
        <w:jc w:val="both"/>
        <w:rPr>
          <w:lang w:val="sr-Cyrl-CS"/>
        </w:rPr>
      </w:pPr>
      <w:r>
        <w:rPr>
          <w:lang w:val="sr-Cyrl-CS"/>
        </w:rPr>
        <w:t>У Београду, ___</w:t>
      </w:r>
      <w:r>
        <w:rPr>
          <w:lang w:val="sr-Latn-CS"/>
        </w:rPr>
        <w:t>__</w:t>
      </w:r>
      <w:r>
        <w:rPr>
          <w:lang w:val="sr-Cyrl-CS"/>
        </w:rPr>
        <w:t xml:space="preserve"> </w:t>
      </w:r>
      <w:r w:rsidR="006D3FF4">
        <w:rPr>
          <w:lang w:val="sr-Cyrl-CS"/>
        </w:rPr>
        <w:t xml:space="preserve"> године</w:t>
      </w:r>
    </w:p>
    <w:p w:rsidR="006D3FF4" w:rsidRDefault="006D3FF4" w:rsidP="006D3FF4">
      <w:pPr>
        <w:jc w:val="both"/>
        <w:rPr>
          <w:lang w:val="sr-Cyrl-CS"/>
        </w:rPr>
      </w:pPr>
    </w:p>
    <w:p w:rsidR="006D3FF4" w:rsidRPr="006D3FF4" w:rsidRDefault="006D3FF4" w:rsidP="006D3FF4">
      <w:pPr>
        <w:jc w:val="both"/>
        <w:rPr>
          <w:lang w:val="sr-Cyrl-CS"/>
        </w:rPr>
      </w:pPr>
    </w:p>
    <w:p w:rsidR="00623628" w:rsidRDefault="00623628" w:rsidP="00623628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D3FF4" w:rsidRDefault="006D3FF4" w:rsidP="00623628">
      <w:pPr>
        <w:jc w:val="center"/>
        <w:rPr>
          <w:lang w:val="sr-Cyrl-CS"/>
        </w:rPr>
      </w:pPr>
    </w:p>
    <w:p w:rsidR="00623628" w:rsidRDefault="00623628" w:rsidP="00DF7F01">
      <w:pPr>
        <w:rPr>
          <w:lang w:val="sr-Cyrl-CS"/>
        </w:rPr>
      </w:pPr>
    </w:p>
    <w:p w:rsidR="001C7845" w:rsidRDefault="00623628" w:rsidP="00623628">
      <w:pPr>
        <w:rPr>
          <w:lang w:val="sr-Cyrl-CS"/>
        </w:rPr>
      </w:pPr>
      <w:r>
        <w:rPr>
          <w:lang w:val="sr-Cyrl-CS"/>
        </w:rPr>
        <w:t xml:space="preserve">                                                      </w:t>
      </w:r>
      <w:r w:rsidR="006D3FF4">
        <w:rPr>
          <w:lang w:val="sr-Cyrl-CS"/>
        </w:rPr>
        <w:t xml:space="preserve">                             </w:t>
      </w:r>
    </w:p>
    <w:p w:rsidR="00623628" w:rsidRDefault="001C7845" w:rsidP="0062362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="00623628">
        <w:rPr>
          <w:lang w:val="sr-Cyrl-CS"/>
        </w:rPr>
        <w:t xml:space="preserve">  ПРЕДСЕДНИК</w:t>
      </w:r>
    </w:p>
    <w:p w:rsidR="00530E73" w:rsidRDefault="00530E73" w:rsidP="00623628">
      <w:pPr>
        <w:rPr>
          <w:lang w:val="sr-Cyrl-CS"/>
        </w:rPr>
      </w:pPr>
    </w:p>
    <w:p w:rsidR="00623628" w:rsidRDefault="00623628" w:rsidP="00DF7F0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мр Небојша Стефановић</w:t>
      </w:r>
    </w:p>
    <w:p w:rsidR="00530E73" w:rsidRDefault="00530E73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Default="008B0DD1" w:rsidP="00DF7F01">
      <w:pPr>
        <w:rPr>
          <w:lang w:val="sr-Cyrl-CS"/>
        </w:rPr>
      </w:pPr>
    </w:p>
    <w:p w:rsidR="008B0DD1" w:rsidRPr="008B0DD1" w:rsidRDefault="008B0DD1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4F5E90" w:rsidRDefault="004F5E90" w:rsidP="00DF7F01">
      <w:pPr>
        <w:rPr>
          <w:lang w:val="sr-Cyrl-CS"/>
        </w:rPr>
      </w:pPr>
    </w:p>
    <w:p w:rsidR="00530E73" w:rsidRPr="00DF7F01" w:rsidRDefault="00530E73" w:rsidP="00DF7F01">
      <w:pPr>
        <w:rPr>
          <w:lang w:val="sr-Cyrl-CS"/>
        </w:rPr>
      </w:pPr>
    </w:p>
    <w:p w:rsidR="00623628" w:rsidRDefault="00623628" w:rsidP="00960461">
      <w:pPr>
        <w:jc w:val="center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  <w:r>
        <w:rPr>
          <w:lang w:val="sr-Cyrl-CS"/>
        </w:rPr>
        <w:t>О Б Р А З Л О</w:t>
      </w:r>
      <w:r>
        <w:rPr>
          <w:lang w:val="sr-Latn-CS"/>
        </w:rPr>
        <w:t xml:space="preserve"> </w:t>
      </w:r>
      <w:r>
        <w:rPr>
          <w:lang w:val="sr-Cyrl-CS"/>
        </w:rPr>
        <w:t>Ж Е Њ Е</w:t>
      </w: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center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Правни основ за доношење закључка садржан је у члану 8. Закона о Народној скупштини („Службени гласник“, број 9/10) и члану 239. став 3. Пословника Народне скупштине (Пречишћени текст - „Службени гласник</w:t>
      </w:r>
      <w:r>
        <w:rPr>
          <w:lang w:val="sr-Latn-CS"/>
        </w:rPr>
        <w:t xml:space="preserve"> </w:t>
      </w:r>
      <w:r>
        <w:rPr>
          <w:lang w:val="sr-Cyrl-CS"/>
        </w:rPr>
        <w:t>РС“, број 20/12).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Pr="00E707E5">
        <w:rPr>
          <w:lang w:val="sr-Cyrl-CS"/>
        </w:rPr>
        <w:t>Чланом 239. став 1.</w:t>
      </w:r>
      <w:r>
        <w:rPr>
          <w:lang w:val="sr-Cyrl-CS"/>
        </w:rPr>
        <w:t xml:space="preserve"> Пословника Народне скупштине  предвиђено је да Народна скупштина разматра извештаје које су државни органи, организације и тела поднели Народној скупштини, народним посланицима и надлежном одбору, као и предлог закључка, односно препоруке надлежног одбора на првој наредној седници.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13. алинеја 23 и члана 19. став 1. Закона о Високом савету судства („Службени гласник РС“, бр. 116/08, 58/09, 104/09, 101/10 и 88/11), Високи савет судства подноси Народној скупштини годишњи извештај о свом раду.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Сагласно наведеним одредбама Закона, Високи савет судства поднео је  Извештај </w:t>
      </w:r>
      <w:r w:rsidR="001F58A2">
        <w:rPr>
          <w:lang w:val="sr-Cyrl-CS"/>
        </w:rPr>
        <w:t>о</w:t>
      </w:r>
      <w:r>
        <w:rPr>
          <w:lang w:val="sr-Cyrl-CS"/>
        </w:rPr>
        <w:t xml:space="preserve"> раду за 2011. годину.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Pr="00593B52" w:rsidRDefault="00960461" w:rsidP="00960461">
      <w:pPr>
        <w:jc w:val="both"/>
        <w:rPr>
          <w:color w:val="00B050"/>
          <w:lang w:val="sr-Cyrl-CS"/>
        </w:rPr>
      </w:pPr>
      <w:r>
        <w:rPr>
          <w:lang w:val="sr-Cyrl-CS"/>
        </w:rPr>
        <w:t xml:space="preserve">               Одбор за правусуђе, државну управу и локалну самоуправу је, као надлежан одбор,  размотрио Извештај </w:t>
      </w:r>
      <w:r>
        <w:rPr>
          <w:lang w:val="sr-Latn-CS"/>
        </w:rPr>
        <w:t>o</w:t>
      </w:r>
      <w:r>
        <w:rPr>
          <w:lang w:val="sr-Cyrl-CS"/>
        </w:rPr>
        <w:t xml:space="preserve"> раду Високог са</w:t>
      </w:r>
      <w:r w:rsidR="001F58A2">
        <w:rPr>
          <w:lang w:val="sr-Cyrl-CS"/>
        </w:rPr>
        <w:t>вета судства за 2012</w:t>
      </w:r>
      <w:r>
        <w:rPr>
          <w:lang w:val="sr-Cyrl-CS"/>
        </w:rPr>
        <w:t>. годину</w:t>
      </w:r>
      <w:r>
        <w:rPr>
          <w:lang w:val="sr-Latn-CS"/>
        </w:rPr>
        <w:t xml:space="preserve"> </w:t>
      </w:r>
      <w:r>
        <w:rPr>
          <w:lang w:val="sr-Cyrl-CS"/>
        </w:rPr>
        <w:t xml:space="preserve"> на </w:t>
      </w:r>
      <w:r w:rsidR="001F58A2">
        <w:rPr>
          <w:lang w:val="sr-Cyrl-CS"/>
        </w:rPr>
        <w:t>2</w:t>
      </w:r>
      <w:r>
        <w:rPr>
          <w:lang w:val="sr-Cyrl-CS"/>
        </w:rPr>
        <w:t>2. се</w:t>
      </w:r>
      <w:r w:rsidR="001F58A2">
        <w:rPr>
          <w:lang w:val="sr-Cyrl-CS"/>
        </w:rPr>
        <w:t>дни</w:t>
      </w:r>
      <w:r w:rsidR="00AD513F">
        <w:rPr>
          <w:lang w:val="sr-Cyrl-CS"/>
        </w:rPr>
        <w:t>ци одржаној 21</w:t>
      </w:r>
      <w:r w:rsidR="001F58A2">
        <w:rPr>
          <w:lang w:val="sr-Cyrl-CS"/>
        </w:rPr>
        <w:t>. марта 2013</w:t>
      </w:r>
      <w:r>
        <w:rPr>
          <w:lang w:val="sr-Cyrl-CS"/>
        </w:rPr>
        <w:t>. године и, у складу са чланом 237. став 4. Пословника Народне скупштине</w:t>
      </w:r>
      <w:r>
        <w:t xml:space="preserve"> </w:t>
      </w:r>
      <w:r>
        <w:rPr>
          <w:lang w:val="sr-Cyrl-CS"/>
        </w:rPr>
        <w:t>(Пречишћени текст), поднео Народној скупштини</w:t>
      </w:r>
      <w:r w:rsidR="00AD513F">
        <w:rPr>
          <w:lang w:val="sr-Cyrl-CS"/>
        </w:rPr>
        <w:t xml:space="preserve"> извештај, са</w:t>
      </w:r>
      <w:r>
        <w:rPr>
          <w:lang w:val="sr-Cyrl-CS"/>
        </w:rPr>
        <w:t xml:space="preserve"> Предлог</w:t>
      </w:r>
      <w:r w:rsidR="00AD513F">
        <w:rPr>
          <w:lang w:val="sr-Cyrl-CS"/>
        </w:rPr>
        <w:t>ом</w:t>
      </w:r>
      <w:r>
        <w:rPr>
          <w:lang w:val="sr-Cyrl-CS"/>
        </w:rPr>
        <w:t xml:space="preserve"> закључ</w:t>
      </w:r>
      <w:r w:rsidR="001F58A2">
        <w:rPr>
          <w:lang w:val="sr-Cyrl-CS"/>
        </w:rPr>
        <w:t>ка</w:t>
      </w:r>
      <w:r>
        <w:rPr>
          <w:lang w:val="sr-Cyrl-CS"/>
        </w:rPr>
        <w:t xml:space="preserve"> који је</w:t>
      </w:r>
      <w:r w:rsidR="001F58A2">
        <w:rPr>
          <w:lang w:val="sr-Cyrl-CS"/>
        </w:rPr>
        <w:t>, поводом разматрања Извештаја,</w:t>
      </w:r>
      <w:r w:rsidR="004F5E90">
        <w:rPr>
          <w:lang w:val="sr-Cyrl-CS"/>
        </w:rPr>
        <w:t xml:space="preserve"> утврдио на 24. седници одржаној 29. марта 2013. године.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Default="00960461" w:rsidP="00960461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8. став 3. Закона о Народној скупштини, закључци Народне скупштине објављују се у „Службеном гласнику РС“.</w:t>
      </w:r>
    </w:p>
    <w:p w:rsidR="00960461" w:rsidRDefault="00960461" w:rsidP="00960461">
      <w:pPr>
        <w:jc w:val="both"/>
        <w:rPr>
          <w:lang w:val="sr-Cyrl-CS"/>
        </w:rPr>
      </w:pPr>
    </w:p>
    <w:p w:rsidR="00960461" w:rsidRPr="00B164D4" w:rsidRDefault="00960461" w:rsidP="00960461">
      <w:pPr>
        <w:rPr>
          <w:lang w:val="sr-Cyrl-CS"/>
        </w:rPr>
      </w:pPr>
    </w:p>
    <w:p w:rsidR="00960461" w:rsidRDefault="00960461" w:rsidP="00960461">
      <w:pPr>
        <w:rPr>
          <w:lang w:val="sr-Cyrl-CS"/>
        </w:rPr>
      </w:pPr>
    </w:p>
    <w:p w:rsidR="00E22132" w:rsidRDefault="00E22132"/>
    <w:sectPr w:rsidR="00E221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F5"/>
    <w:multiLevelType w:val="hybridMultilevel"/>
    <w:tmpl w:val="90D0FC8A"/>
    <w:lvl w:ilvl="0" w:tplc="C7E05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A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01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C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4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E3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6A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2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1B1958"/>
    <w:multiLevelType w:val="hybridMultilevel"/>
    <w:tmpl w:val="012C4AFC"/>
    <w:lvl w:ilvl="0" w:tplc="FA1E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63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CC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E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82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2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EB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6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4447FA"/>
    <w:multiLevelType w:val="hybridMultilevel"/>
    <w:tmpl w:val="1A50AF84"/>
    <w:lvl w:ilvl="0" w:tplc="C73824C8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D30D1"/>
    <w:multiLevelType w:val="hybridMultilevel"/>
    <w:tmpl w:val="80B2BB84"/>
    <w:lvl w:ilvl="0" w:tplc="40C0566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A3696"/>
    <w:multiLevelType w:val="hybridMultilevel"/>
    <w:tmpl w:val="72604E66"/>
    <w:lvl w:ilvl="0" w:tplc="3048BB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52041"/>
    <w:multiLevelType w:val="hybridMultilevel"/>
    <w:tmpl w:val="10D41AE2"/>
    <w:lvl w:ilvl="0" w:tplc="A176A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8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0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49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2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81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A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3C1194"/>
    <w:multiLevelType w:val="hybridMultilevel"/>
    <w:tmpl w:val="7ABE5516"/>
    <w:lvl w:ilvl="0" w:tplc="DEC84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C0BE0"/>
    <w:multiLevelType w:val="hybridMultilevel"/>
    <w:tmpl w:val="C7580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527B9"/>
    <w:multiLevelType w:val="hybridMultilevel"/>
    <w:tmpl w:val="72EEB86C"/>
    <w:lvl w:ilvl="0" w:tplc="EF22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61B48"/>
    <w:multiLevelType w:val="hybridMultilevel"/>
    <w:tmpl w:val="CA362BA6"/>
    <w:lvl w:ilvl="0" w:tplc="91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75571E"/>
    <w:multiLevelType w:val="hybridMultilevel"/>
    <w:tmpl w:val="714CD2F4"/>
    <w:lvl w:ilvl="0" w:tplc="97A4F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E8206C"/>
    <w:multiLevelType w:val="hybridMultilevel"/>
    <w:tmpl w:val="E86AB85C"/>
    <w:lvl w:ilvl="0" w:tplc="198E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48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0C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8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25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0D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2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F85DBD"/>
    <w:multiLevelType w:val="hybridMultilevel"/>
    <w:tmpl w:val="AD868046"/>
    <w:lvl w:ilvl="0" w:tplc="6304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61"/>
    <w:rsid w:val="00145303"/>
    <w:rsid w:val="001C7845"/>
    <w:rsid w:val="001F58A2"/>
    <w:rsid w:val="001F68EC"/>
    <w:rsid w:val="00333717"/>
    <w:rsid w:val="003A191C"/>
    <w:rsid w:val="00423229"/>
    <w:rsid w:val="004F5E90"/>
    <w:rsid w:val="00523112"/>
    <w:rsid w:val="00530E73"/>
    <w:rsid w:val="005502B6"/>
    <w:rsid w:val="00553D4B"/>
    <w:rsid w:val="00623628"/>
    <w:rsid w:val="006243E8"/>
    <w:rsid w:val="006D3FF4"/>
    <w:rsid w:val="007D6283"/>
    <w:rsid w:val="007E6638"/>
    <w:rsid w:val="00891AFA"/>
    <w:rsid w:val="008B0DD1"/>
    <w:rsid w:val="008C6B6F"/>
    <w:rsid w:val="008F16E9"/>
    <w:rsid w:val="009336E4"/>
    <w:rsid w:val="00960461"/>
    <w:rsid w:val="00995BA6"/>
    <w:rsid w:val="009D498F"/>
    <w:rsid w:val="00AC6FD7"/>
    <w:rsid w:val="00AD513F"/>
    <w:rsid w:val="00AF73D5"/>
    <w:rsid w:val="00C40FFB"/>
    <w:rsid w:val="00D027D6"/>
    <w:rsid w:val="00DC66DC"/>
    <w:rsid w:val="00DC77A8"/>
    <w:rsid w:val="00DF7F01"/>
    <w:rsid w:val="00E13DCA"/>
    <w:rsid w:val="00E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18</cp:revision>
  <cp:lastPrinted>2013-03-20T16:52:00Z</cp:lastPrinted>
  <dcterms:created xsi:type="dcterms:W3CDTF">2013-03-20T16:52:00Z</dcterms:created>
  <dcterms:modified xsi:type="dcterms:W3CDTF">2013-04-17T13:41:00Z</dcterms:modified>
</cp:coreProperties>
</file>